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>($</w:t>
      </w:r>
      <w:r w:rsidR="001C1D11">
        <w:rPr>
          <w:rFonts w:ascii="Arial" w:hAnsi="Arial" w:cs="Arial"/>
          <w:spacing w:val="-3"/>
          <w:lang w:val="es-ES_tradnl"/>
        </w:rPr>
        <w:t>137.195,10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394421">
        <w:rPr>
          <w:rFonts w:ascii="Arial" w:hAnsi="Arial" w:cs="Arial"/>
          <w:spacing w:val="-3"/>
          <w:lang w:val="es-ES_tradnl"/>
        </w:rPr>
        <w:t>para el año 2017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 xml:space="preserve">, </w:t>
      </w:r>
      <w:r w:rsidR="001C1D11">
        <w:rPr>
          <w:rFonts w:ascii="Arial" w:hAnsi="Arial" w:cs="Arial"/>
          <w:b/>
          <w:bCs/>
          <w:spacing w:val="-3"/>
          <w:lang w:val="es-ES_tradnl"/>
        </w:rPr>
        <w:t>según requerimiento 21 de Junio de 2017</w:t>
      </w:r>
      <w:r w:rsidR="00DF447F">
        <w:rPr>
          <w:rFonts w:ascii="Arial" w:hAnsi="Arial" w:cs="Arial"/>
          <w:b/>
          <w:bCs/>
          <w:spacing w:val="-3"/>
          <w:lang w:val="es-ES_tradnl"/>
        </w:rPr>
        <w:t>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67DEB">
        <w:rPr>
          <w:rFonts w:ascii="Arial" w:hAnsi="Arial" w:cs="Arial"/>
          <w:spacing w:val="-3"/>
          <w:lang w:val="es-ES_tradnl"/>
        </w:rPr>
        <w:t xml:space="preserve"> </w:t>
      </w:r>
      <w:r w:rsidR="008406CD">
        <w:rPr>
          <w:rFonts w:ascii="Arial" w:hAnsi="Arial" w:cs="Arial"/>
          <w:spacing w:val="-3"/>
          <w:lang w:val="es-ES_tradnl"/>
        </w:rPr>
        <w:t>miércoles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1C1D11">
        <w:rPr>
          <w:rFonts w:ascii="Arial" w:hAnsi="Arial" w:cs="Arial"/>
          <w:spacing w:val="-3"/>
          <w:lang w:val="es-ES_tradnl"/>
        </w:rPr>
        <w:t>30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1C1D11">
        <w:rPr>
          <w:rFonts w:ascii="Arial" w:hAnsi="Arial" w:cs="Arial"/>
          <w:spacing w:val="-3"/>
          <w:lang w:val="es-ES_tradnl"/>
        </w:rPr>
        <w:t>Junio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 día </w:t>
      </w:r>
      <w:r w:rsidR="001C1D11">
        <w:rPr>
          <w:rFonts w:ascii="Arial" w:hAnsi="Arial" w:cs="Arial"/>
          <w:spacing w:val="-3"/>
          <w:lang w:val="es-ES_tradnl"/>
        </w:rPr>
        <w:t>lunes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1C1D11">
        <w:rPr>
          <w:rFonts w:ascii="Arial" w:hAnsi="Arial" w:cs="Arial"/>
          <w:spacing w:val="-3"/>
          <w:lang w:val="es-ES_tradnl"/>
        </w:rPr>
        <w:t>03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1C1D11">
        <w:rPr>
          <w:rFonts w:ascii="Arial" w:hAnsi="Arial" w:cs="Arial"/>
          <w:spacing w:val="-3"/>
          <w:lang w:val="es-ES_tradnl"/>
        </w:rPr>
        <w:t>Julio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la Gestión Financiera del Hospital Vicente Corral Moscoso</w:t>
      </w:r>
      <w:r w:rsidR="001C1D11">
        <w:rPr>
          <w:rFonts w:ascii="Arial" w:hAnsi="Arial" w:cs="Arial"/>
          <w:spacing w:val="-2"/>
        </w:rPr>
        <w:t>.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Los bienes deberán se</w:t>
      </w:r>
      <w:r w:rsidR="008406CD"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2"/>
        </w:rPr>
        <w:t xml:space="preserve"> ofertados únicamente los que dispone el proveedor para entrega </w:t>
      </w:r>
      <w:r w:rsidRPr="001C1D11">
        <w:rPr>
          <w:rFonts w:ascii="Arial" w:hAnsi="Arial" w:cs="Arial"/>
          <w:b/>
          <w:spacing w:val="-2"/>
        </w:rPr>
        <w:t>inmediata</w:t>
      </w:r>
      <w:r>
        <w:rPr>
          <w:rFonts w:ascii="Arial" w:hAnsi="Arial" w:cs="Arial"/>
          <w:spacing w:val="-2"/>
        </w:rPr>
        <w:t xml:space="preserve">, entendiéndose para ellos </w:t>
      </w:r>
      <w:r w:rsidR="00686E07">
        <w:rPr>
          <w:rFonts w:ascii="Arial" w:hAnsi="Arial" w:cs="Arial"/>
          <w:spacing w:val="-2"/>
        </w:rPr>
        <w:t>diez</w:t>
      </w:r>
      <w:r>
        <w:rPr>
          <w:rFonts w:ascii="Arial" w:hAnsi="Arial" w:cs="Arial"/>
          <w:spacing w:val="-2"/>
        </w:rPr>
        <w:t xml:space="preserve"> (</w:t>
      </w:r>
      <w:r w:rsidR="00847EAF">
        <w:rPr>
          <w:rFonts w:ascii="Arial" w:hAnsi="Arial" w:cs="Arial"/>
          <w:spacing w:val="-2"/>
        </w:rPr>
        <w:t>10</w:t>
      </w:r>
      <w:r>
        <w:rPr>
          <w:rFonts w:ascii="Arial" w:hAnsi="Arial" w:cs="Arial"/>
          <w:spacing w:val="-2"/>
        </w:rPr>
        <w:t>) días</w:t>
      </w:r>
      <w:r w:rsidR="00847EAF">
        <w:rPr>
          <w:rFonts w:ascii="Arial" w:hAnsi="Arial" w:cs="Arial"/>
          <w:spacing w:val="-2"/>
        </w:rPr>
        <w:t xml:space="preserve"> calendario</w:t>
      </w:r>
      <w:r>
        <w:rPr>
          <w:rFonts w:ascii="Arial" w:hAnsi="Arial" w:cs="Arial"/>
          <w:spacing w:val="-2"/>
        </w:rPr>
        <w:t xml:space="preserve">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1C1D11">
        <w:rPr>
          <w:rFonts w:ascii="Arial" w:hAnsi="Arial" w:cs="Arial"/>
          <w:lang w:val="es-ES_tradnl"/>
        </w:rPr>
        <w:t>26</w:t>
      </w:r>
      <w:r w:rsidR="00DF447F">
        <w:rPr>
          <w:rFonts w:ascii="Arial" w:hAnsi="Arial" w:cs="Arial"/>
          <w:lang w:val="es-ES_tradnl"/>
        </w:rPr>
        <w:t xml:space="preserve"> de </w:t>
      </w:r>
      <w:r w:rsidR="001C1D11">
        <w:rPr>
          <w:rFonts w:ascii="Arial" w:hAnsi="Arial" w:cs="Arial"/>
          <w:lang w:val="es-ES_tradnl"/>
        </w:rPr>
        <w:t>Junio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1C1D11">
        <w:rPr>
          <w:rFonts w:ascii="Arial" w:hAnsi="Arial" w:cs="Arial"/>
          <w:b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1C1D11">
        <w:rPr>
          <w:rFonts w:ascii="Arial" w:hAnsi="Arial" w:cs="Arial"/>
          <w:spacing w:val="-3"/>
          <w:lang w:val="es-ES_tradnl"/>
        </w:rPr>
        <w:t>cinco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1C1D1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9F2716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9F2716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85" w:rsidRDefault="00CE7B85">
      <w:r>
        <w:separator/>
      </w:r>
    </w:p>
  </w:endnote>
  <w:endnote w:type="continuationSeparator" w:id="1">
    <w:p w:rsidR="00CE7B85" w:rsidRDefault="00CE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9F271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9F2716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6B1D9F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85" w:rsidRDefault="00CE7B85">
      <w:r>
        <w:separator/>
      </w:r>
    </w:p>
  </w:footnote>
  <w:footnote w:type="continuationSeparator" w:id="1">
    <w:p w:rsidR="00CE7B85" w:rsidRDefault="00CE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A5C0A"/>
    <w:rsid w:val="001B12AB"/>
    <w:rsid w:val="001C1D11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B1D9F"/>
    <w:rsid w:val="006C3B61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06CD"/>
    <w:rsid w:val="00842CB5"/>
    <w:rsid w:val="00847EAF"/>
    <w:rsid w:val="0085146A"/>
    <w:rsid w:val="008546EA"/>
    <w:rsid w:val="008604AE"/>
    <w:rsid w:val="00861664"/>
    <w:rsid w:val="00865A30"/>
    <w:rsid w:val="00867DEB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77751"/>
    <w:rsid w:val="00982E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9F2716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85842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E7B85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CMALDONADO</cp:lastModifiedBy>
  <cp:revision>5</cp:revision>
  <cp:lastPrinted>2016-10-12T21:15:00Z</cp:lastPrinted>
  <dcterms:created xsi:type="dcterms:W3CDTF">2017-02-13T15:36:00Z</dcterms:created>
  <dcterms:modified xsi:type="dcterms:W3CDTF">2017-06-26T14:41:00Z</dcterms:modified>
</cp:coreProperties>
</file>